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31" w:rsidRPr="000E6031" w:rsidRDefault="000E6031" w:rsidP="000E6031">
      <w:pPr>
        <w:spacing w:before="300" w:after="150" w:line="240" w:lineRule="auto"/>
        <w:outlineLvl w:val="2"/>
        <w:rPr>
          <w:rFonts w:ascii="Arial" w:eastAsia="Times New Roman" w:hAnsi="Arial" w:cs="Arial"/>
          <w:color w:val="94153D"/>
          <w:lang w:eastAsia="hu-HU"/>
        </w:rPr>
      </w:pPr>
      <w:r w:rsidRPr="000E6031">
        <w:rPr>
          <w:rFonts w:ascii="Arial" w:eastAsia="Times New Roman" w:hAnsi="Arial" w:cs="Arial"/>
          <w:color w:val="94153D"/>
          <w:lang w:eastAsia="hu-HU"/>
        </w:rPr>
        <w:t>Fogyatékos személyek utazási kedvezménye</w:t>
      </w:r>
      <w:bookmarkStart w:id="0" w:name="_GoBack"/>
      <w:bookmarkEnd w:id="0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2486"/>
        <w:gridCol w:w="1459"/>
        <w:gridCol w:w="1459"/>
        <w:gridCol w:w="686"/>
        <w:gridCol w:w="686"/>
        <w:gridCol w:w="686"/>
      </w:tblGrid>
      <w:tr w:rsidR="000E6031" w:rsidRPr="000E6031" w:rsidTr="000E6031">
        <w:tc>
          <w:tcPr>
            <w:tcW w:w="24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b/>
                <w:bCs/>
                <w:color w:val="10191B"/>
                <w:lang w:eastAsia="hu-HU"/>
              </w:rPr>
              <w:t>Kedvezmények a </w:t>
            </w:r>
            <w:r w:rsidRPr="000E6031">
              <w:rPr>
                <w:rFonts w:ascii="Arial" w:eastAsia="Times New Roman" w:hAnsi="Arial" w:cs="Arial"/>
                <w:b/>
                <w:bCs/>
                <w:color w:val="10191B"/>
                <w:lang w:eastAsia="hu-HU"/>
              </w:rPr>
              <w:br/>
              <w:t>helyközi közlekedésben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b/>
                <w:bCs/>
                <w:color w:val="10191B"/>
                <w:lang w:eastAsia="hu-HU"/>
              </w:rPr>
              <w:t>Kedvezmények a </w:t>
            </w:r>
            <w:r w:rsidRPr="000E6031">
              <w:rPr>
                <w:rFonts w:ascii="Arial" w:eastAsia="Times New Roman" w:hAnsi="Arial" w:cs="Arial"/>
                <w:b/>
                <w:bCs/>
                <w:color w:val="10191B"/>
                <w:lang w:eastAsia="hu-HU"/>
              </w:rPr>
              <w:br/>
              <w:t>helyi közlekedésben</w:t>
            </w:r>
          </w:p>
        </w:tc>
      </w:tr>
      <w:tr w:rsidR="000E6031" w:rsidRPr="000E6031" w:rsidTr="000E6031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b/>
                <w:bCs/>
                <w:color w:val="10191B"/>
                <w:lang w:eastAsia="hu-HU"/>
              </w:rPr>
              <w:t>jegy-</w:t>
            </w:r>
            <w:r w:rsidRPr="000E6031">
              <w:rPr>
                <w:rFonts w:ascii="Arial" w:eastAsia="Times New Roman" w:hAnsi="Arial" w:cs="Arial"/>
                <w:b/>
                <w:bCs/>
                <w:color w:val="10191B"/>
                <w:lang w:eastAsia="hu-HU"/>
              </w:rPr>
              <w:br/>
              <w:t>kedvezmény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b/>
                <w:bCs/>
                <w:color w:val="10191B"/>
                <w:lang w:eastAsia="hu-HU"/>
              </w:rPr>
              <w:t>bérlet-</w:t>
            </w:r>
            <w:r w:rsidRPr="000E6031">
              <w:rPr>
                <w:rFonts w:ascii="Arial" w:eastAsia="Times New Roman" w:hAnsi="Arial" w:cs="Arial"/>
                <w:b/>
                <w:bCs/>
                <w:color w:val="10191B"/>
                <w:lang w:eastAsia="hu-HU"/>
              </w:rPr>
              <w:br/>
              <w:t>kedvezmény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b/>
                <w:bCs/>
                <w:color w:val="10191B"/>
                <w:lang w:eastAsia="hu-HU"/>
              </w:rPr>
              <w:t>bérletkedvezmény</w:t>
            </w:r>
          </w:p>
        </w:tc>
      </w:tr>
      <w:tr w:rsidR="000E6031" w:rsidRPr="000E6031" w:rsidTr="000E6031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b/>
                <w:bCs/>
                <w:color w:val="10191B"/>
                <w:lang w:eastAsia="hu-HU"/>
              </w:rPr>
              <w:br/>
              <w:t>(vasúti személyszállítás,</w:t>
            </w:r>
            <w:r w:rsidRPr="000E6031">
              <w:rPr>
                <w:rFonts w:ascii="Arial" w:eastAsia="Times New Roman" w:hAnsi="Arial" w:cs="Arial"/>
                <w:b/>
                <w:bCs/>
                <w:color w:val="10191B"/>
                <w:lang w:eastAsia="hu-HU"/>
              </w:rPr>
              <w:br/>
              <w:t>HÉV, helyközi</w:t>
            </w:r>
            <w:r w:rsidRPr="000E6031">
              <w:rPr>
                <w:rFonts w:ascii="Arial" w:eastAsia="Times New Roman" w:hAnsi="Arial" w:cs="Arial"/>
                <w:b/>
                <w:bCs/>
                <w:color w:val="10191B"/>
                <w:lang w:eastAsia="hu-HU"/>
              </w:rPr>
              <w:br/>
              <w:t>autóbusz-közlekedés,</w:t>
            </w:r>
            <w:r w:rsidRPr="000E6031">
              <w:rPr>
                <w:rFonts w:ascii="Arial" w:eastAsia="Times New Roman" w:hAnsi="Arial" w:cs="Arial"/>
                <w:b/>
                <w:bCs/>
                <w:color w:val="10191B"/>
                <w:lang w:eastAsia="hu-HU"/>
              </w:rPr>
              <w:br/>
              <w:t>komp- és révközlekedés)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b/>
                <w:bCs/>
                <w:color w:val="10191B"/>
                <w:lang w:eastAsia="hu-HU"/>
              </w:rPr>
              <w:t>(helyi közúti és kötöttpályás közlekedés)</w:t>
            </w:r>
          </w:p>
        </w:tc>
      </w:tr>
      <w:tr w:rsidR="000E6031" w:rsidRPr="000E6031" w:rsidTr="000E6031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b/>
                <w:bCs/>
                <w:color w:val="10191B"/>
                <w:lang w:eastAsia="hu-HU"/>
              </w:rPr>
              <w:t>Fogyatékos személyek utazási kedvezménye</w:t>
            </w:r>
          </w:p>
        </w:tc>
      </w:tr>
      <w:tr w:rsidR="000E6031" w:rsidRPr="000E6031" w:rsidTr="000E6031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vak személy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8. § (1) bekezdés </w:t>
            </w:r>
            <w:r w:rsidRPr="000E6031">
              <w:rPr>
                <w:rFonts w:ascii="Arial" w:eastAsia="Times New Roman" w:hAnsi="Arial" w:cs="Arial"/>
                <w:i/>
                <w:iCs/>
                <w:color w:val="10191B"/>
                <w:lang w:eastAsia="hu-HU"/>
              </w:rPr>
              <w:t>a) </w:t>
            </w: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pontja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90%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90%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100%</w:t>
            </w:r>
          </w:p>
        </w:tc>
      </w:tr>
      <w:tr w:rsidR="000E6031" w:rsidRPr="000E6031" w:rsidTr="000E6031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hallássérült személy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8. § (1) bekezdés </w:t>
            </w:r>
            <w:r w:rsidRPr="000E6031">
              <w:rPr>
                <w:rFonts w:ascii="Arial" w:eastAsia="Times New Roman" w:hAnsi="Arial" w:cs="Arial"/>
                <w:i/>
                <w:iCs/>
                <w:color w:val="10191B"/>
                <w:lang w:eastAsia="hu-HU"/>
              </w:rPr>
              <w:t>b) </w:t>
            </w: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pontja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90%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90%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100%</w:t>
            </w:r>
          </w:p>
        </w:tc>
      </w:tr>
      <w:tr w:rsidR="000E6031" w:rsidRPr="000E6031" w:rsidTr="000E6031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a magasabb összegű családi pótlékban részesülő gyermek, valamint az 1998. évi XXVI. törvény szerint súlyosan fogyatékos személy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8. § (1) bekezdés </w:t>
            </w:r>
            <w:r w:rsidRPr="000E6031">
              <w:rPr>
                <w:rFonts w:ascii="Arial" w:eastAsia="Times New Roman" w:hAnsi="Arial" w:cs="Arial"/>
                <w:i/>
                <w:iCs/>
                <w:color w:val="10191B"/>
                <w:lang w:eastAsia="hu-HU"/>
              </w:rPr>
              <w:t>c) </w:t>
            </w: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és </w:t>
            </w:r>
            <w:r w:rsidRPr="000E6031">
              <w:rPr>
                <w:rFonts w:ascii="Arial" w:eastAsia="Times New Roman" w:hAnsi="Arial" w:cs="Arial"/>
                <w:i/>
                <w:iCs/>
                <w:color w:val="10191B"/>
                <w:lang w:eastAsia="hu-HU"/>
              </w:rPr>
              <w:t>d</w:t>
            </w:r>
            <w:proofErr w:type="gramStart"/>
            <w:r w:rsidRPr="000E6031">
              <w:rPr>
                <w:rFonts w:ascii="Arial" w:eastAsia="Times New Roman" w:hAnsi="Arial" w:cs="Arial"/>
                <w:i/>
                <w:iCs/>
                <w:color w:val="10191B"/>
                <w:lang w:eastAsia="hu-HU"/>
              </w:rPr>
              <w:t>)</w:t>
            </w: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pontja</w:t>
            </w:r>
            <w:proofErr w:type="gram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90%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90%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100%</w:t>
            </w:r>
          </w:p>
        </w:tc>
      </w:tr>
      <w:tr w:rsidR="000E6031" w:rsidRPr="000E6031" w:rsidTr="000E6031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a magasabb összegű családi pótlékban részesülő gyermek, valamint az 1998. évi XXVI. törvény szerinti súlyosan fogyatékos személy, a vak személy és hallássérült személy 1 fő kísérője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8. § (1) bekezdés </w:t>
            </w:r>
            <w:r w:rsidRPr="000E6031">
              <w:rPr>
                <w:rFonts w:ascii="Arial" w:eastAsia="Times New Roman" w:hAnsi="Arial" w:cs="Arial"/>
                <w:i/>
                <w:iCs/>
                <w:color w:val="10191B"/>
                <w:lang w:eastAsia="hu-HU"/>
              </w:rPr>
              <w:t>e) </w:t>
            </w: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pontja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90%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–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100%</w:t>
            </w:r>
          </w:p>
        </w:tc>
      </w:tr>
      <w:tr w:rsidR="000E6031" w:rsidRPr="000E6031" w:rsidTr="000E6031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hadirokkant és hadiözvegy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8. § (1) bekezdés </w:t>
            </w:r>
            <w:r w:rsidRPr="000E6031">
              <w:rPr>
                <w:rFonts w:ascii="Arial" w:eastAsia="Times New Roman" w:hAnsi="Arial" w:cs="Arial"/>
                <w:i/>
                <w:iCs/>
                <w:color w:val="10191B"/>
                <w:lang w:eastAsia="hu-HU"/>
              </w:rPr>
              <w:t>f) </w:t>
            </w: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pontja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100%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–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100%</w:t>
            </w:r>
          </w:p>
        </w:tc>
      </w:tr>
      <w:tr w:rsidR="000E6031" w:rsidRPr="000E6031" w:rsidTr="000E6031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hadirokkant kísérője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8. § (1) bekezdés </w:t>
            </w:r>
            <w:r w:rsidRPr="000E6031">
              <w:rPr>
                <w:rFonts w:ascii="Arial" w:eastAsia="Times New Roman" w:hAnsi="Arial" w:cs="Arial"/>
                <w:i/>
                <w:iCs/>
                <w:color w:val="10191B"/>
                <w:lang w:eastAsia="hu-HU"/>
              </w:rPr>
              <w:t>g) </w:t>
            </w: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pontja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100%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–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100%</w:t>
            </w:r>
          </w:p>
        </w:tc>
      </w:tr>
      <w:tr w:rsidR="000E6031" w:rsidRPr="000E6031" w:rsidTr="000E6031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lastRenderedPageBreak/>
              <w:t>legalább 75%-os rokkant hadirokkant családtagja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8. § (1) bekezdés </w:t>
            </w:r>
            <w:r w:rsidRPr="000E6031">
              <w:rPr>
                <w:rFonts w:ascii="Arial" w:eastAsia="Times New Roman" w:hAnsi="Arial" w:cs="Arial"/>
                <w:i/>
                <w:iCs/>
                <w:color w:val="10191B"/>
                <w:lang w:eastAsia="hu-HU"/>
              </w:rPr>
              <w:t>h) </w:t>
            </w: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pontja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50%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–</w:t>
            </w:r>
          </w:p>
        </w:tc>
        <w:tc>
          <w:tcPr>
            <w:tcW w:w="10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100%</w:t>
            </w:r>
          </w:p>
        </w:tc>
      </w:tr>
      <w:tr w:rsidR="000E6031" w:rsidRPr="000E6031" w:rsidTr="000E6031"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rokkantsági járadékos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8. § (1) bekezdés </w:t>
            </w:r>
            <w:r w:rsidRPr="000E6031">
              <w:rPr>
                <w:rFonts w:ascii="Arial" w:eastAsia="Times New Roman" w:hAnsi="Arial" w:cs="Arial"/>
                <w:i/>
                <w:iCs/>
                <w:color w:val="10191B"/>
                <w:lang w:eastAsia="hu-HU"/>
              </w:rPr>
              <w:t>i) </w:t>
            </w: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pontja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–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color w:val="10191B"/>
                <w:lang w:eastAsia="hu-HU"/>
              </w:rPr>
            </w:pPr>
            <w:r w:rsidRPr="000E6031">
              <w:rPr>
                <w:rFonts w:ascii="Arial" w:eastAsia="Times New Roman" w:hAnsi="Arial" w:cs="Arial"/>
                <w:color w:val="10191B"/>
                <w:lang w:eastAsia="hu-HU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E6031" w:rsidRPr="000E6031" w:rsidRDefault="000E6031" w:rsidP="000E6031">
            <w:pPr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</w:tr>
    </w:tbl>
    <w:p w:rsidR="00DF7D6D" w:rsidRPr="000E6031" w:rsidRDefault="00DF7D6D">
      <w:pPr>
        <w:rPr>
          <w:rFonts w:ascii="Arial" w:hAnsi="Arial" w:cs="Arial"/>
        </w:rPr>
      </w:pPr>
    </w:p>
    <w:sectPr w:rsidR="00DF7D6D" w:rsidRPr="000E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-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31"/>
    <w:rsid w:val="000E6031"/>
    <w:rsid w:val="00D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0E6031"/>
    <w:pPr>
      <w:spacing w:before="300" w:after="150" w:line="240" w:lineRule="auto"/>
      <w:outlineLvl w:val="2"/>
    </w:pPr>
    <w:rPr>
      <w:rFonts w:ascii="Trebuchet-Bold" w:eastAsia="Times New Roman" w:hAnsi="Trebuchet-Bold" w:cs="Times New Roman"/>
      <w:color w:val="94153D"/>
      <w:sz w:val="43"/>
      <w:szCs w:val="43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E6031"/>
    <w:rPr>
      <w:rFonts w:ascii="Trebuchet-Bold" w:eastAsia="Times New Roman" w:hAnsi="Trebuchet-Bold" w:cs="Times New Roman"/>
      <w:color w:val="94153D"/>
      <w:sz w:val="43"/>
      <w:szCs w:val="43"/>
      <w:lang w:eastAsia="hu-HU"/>
    </w:rPr>
  </w:style>
  <w:style w:type="character" w:styleId="Kiemels2">
    <w:name w:val="Strong"/>
    <w:basedOn w:val="Bekezdsalapbettpusa"/>
    <w:uiPriority w:val="22"/>
    <w:qFormat/>
    <w:rsid w:val="000E6031"/>
    <w:rPr>
      <w:rFonts w:ascii="Trebuchet-Bold" w:hAnsi="Trebuchet-Bold" w:hint="default"/>
      <w:b/>
      <w:bCs/>
    </w:rPr>
  </w:style>
  <w:style w:type="character" w:styleId="Kiemels">
    <w:name w:val="Emphasis"/>
    <w:basedOn w:val="Bekezdsalapbettpusa"/>
    <w:uiPriority w:val="20"/>
    <w:qFormat/>
    <w:rsid w:val="000E60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0E6031"/>
    <w:pPr>
      <w:spacing w:before="300" w:after="150" w:line="240" w:lineRule="auto"/>
      <w:outlineLvl w:val="2"/>
    </w:pPr>
    <w:rPr>
      <w:rFonts w:ascii="Trebuchet-Bold" w:eastAsia="Times New Roman" w:hAnsi="Trebuchet-Bold" w:cs="Times New Roman"/>
      <w:color w:val="94153D"/>
      <w:sz w:val="43"/>
      <w:szCs w:val="43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E6031"/>
    <w:rPr>
      <w:rFonts w:ascii="Trebuchet-Bold" w:eastAsia="Times New Roman" w:hAnsi="Trebuchet-Bold" w:cs="Times New Roman"/>
      <w:color w:val="94153D"/>
      <w:sz w:val="43"/>
      <w:szCs w:val="43"/>
      <w:lang w:eastAsia="hu-HU"/>
    </w:rPr>
  </w:style>
  <w:style w:type="character" w:styleId="Kiemels2">
    <w:name w:val="Strong"/>
    <w:basedOn w:val="Bekezdsalapbettpusa"/>
    <w:uiPriority w:val="22"/>
    <w:qFormat/>
    <w:rsid w:val="000E6031"/>
    <w:rPr>
      <w:rFonts w:ascii="Trebuchet-Bold" w:hAnsi="Trebuchet-Bold" w:hint="default"/>
      <w:b/>
      <w:bCs/>
    </w:rPr>
  </w:style>
  <w:style w:type="character" w:styleId="Kiemels">
    <w:name w:val="Emphasis"/>
    <w:basedOn w:val="Bekezdsalapbettpusa"/>
    <w:uiPriority w:val="20"/>
    <w:qFormat/>
    <w:rsid w:val="000E60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3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5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Csaba_MÁV-START_Ügyfélszolgálat</dc:creator>
  <cp:lastModifiedBy>Péter Csaba_MÁV-START_Ügyfélszolgálat</cp:lastModifiedBy>
  <cp:revision>1</cp:revision>
  <dcterms:created xsi:type="dcterms:W3CDTF">2019-04-16T10:47:00Z</dcterms:created>
  <dcterms:modified xsi:type="dcterms:W3CDTF">2019-04-16T10:48:00Z</dcterms:modified>
</cp:coreProperties>
</file>